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74AD9" w14:textId="77777777" w:rsidR="002366A2" w:rsidRPr="002366A2" w:rsidRDefault="002366A2" w:rsidP="002366A2">
      <w:pPr>
        <w:pStyle w:val="Heading1"/>
      </w:pPr>
      <w:r w:rsidRPr="002366A2">
        <w:t>Suggested/Possible PowerBuilder Interview Questions</w:t>
      </w:r>
    </w:p>
    <w:p w14:paraId="1EAF2CBE" w14:textId="77777777" w:rsidR="002366A2" w:rsidRPr="002366A2" w:rsidRDefault="002366A2" w:rsidP="002366A2">
      <w:pPr>
        <w:pStyle w:val="Heading2"/>
      </w:pPr>
      <w:r w:rsidRPr="002366A2">
        <w:t>General PowerBuilder Questions</w:t>
      </w:r>
    </w:p>
    <w:p w14:paraId="41543A8F" w14:textId="77777777" w:rsidR="002366A2" w:rsidRPr="002366A2" w:rsidRDefault="002366A2" w:rsidP="002366A2">
      <w:pPr>
        <w:ind w:left="360" w:hanging="360"/>
      </w:pPr>
      <w:r w:rsidRPr="002366A2">
        <w:t>Q:</w:t>
      </w:r>
      <w:r w:rsidRPr="002366A2">
        <w:tab/>
        <w:t>What is a “PBL” (pronounced “</w:t>
      </w:r>
      <w:proofErr w:type="spellStart"/>
      <w:r w:rsidRPr="002366A2">
        <w:t>pibble</w:t>
      </w:r>
      <w:proofErr w:type="spellEnd"/>
      <w:r w:rsidRPr="002366A2">
        <w:t>”)?</w:t>
      </w:r>
    </w:p>
    <w:p w14:paraId="57574901" w14:textId="127CA339" w:rsidR="002366A2" w:rsidRPr="002366A2" w:rsidRDefault="002366A2" w:rsidP="002366A2">
      <w:pPr>
        <w:ind w:left="360" w:hanging="360"/>
      </w:pPr>
      <w:r w:rsidRPr="002366A2">
        <w:t>A:</w:t>
      </w:r>
      <w:r w:rsidRPr="002366A2">
        <w:tab/>
        <w:t xml:space="preserve">PB saves and organizes collections of </w:t>
      </w:r>
      <w:r>
        <w:t xml:space="preserve">PowerBuilder </w:t>
      </w:r>
      <w:r w:rsidRPr="002366A2">
        <w:t xml:space="preserve">objects in files known as PowerBuilder Libraries. These </w:t>
      </w:r>
      <w:r>
        <w:t xml:space="preserve">binary </w:t>
      </w:r>
      <w:r w:rsidRPr="002366A2">
        <w:t>files utilize a .</w:t>
      </w:r>
      <w:proofErr w:type="spellStart"/>
      <w:r w:rsidRPr="002366A2">
        <w:t>pbl</w:t>
      </w:r>
      <w:proofErr w:type="spellEnd"/>
      <w:r w:rsidRPr="002366A2">
        <w:t xml:space="preserve"> file extension</w:t>
      </w:r>
      <w:r>
        <w:t>, which is why PB libraries are referred to as “</w:t>
      </w:r>
      <w:proofErr w:type="spellStart"/>
      <w:r>
        <w:t>pbl’s</w:t>
      </w:r>
      <w:proofErr w:type="spellEnd"/>
      <w:r>
        <w:t>”.</w:t>
      </w:r>
      <w:r w:rsidRPr="002366A2">
        <w:t xml:space="preserve"> Objects are stored in both source syntax form and in compiled pseudo-code.</w:t>
      </w:r>
    </w:p>
    <w:p w14:paraId="4A988906" w14:textId="77777777" w:rsidR="002366A2" w:rsidRPr="002366A2" w:rsidRDefault="002366A2" w:rsidP="002366A2">
      <w:pPr>
        <w:ind w:left="360" w:hanging="360"/>
      </w:pPr>
      <w:r w:rsidRPr="002366A2">
        <w:t>Q:</w:t>
      </w:r>
      <w:r w:rsidRPr="002366A2">
        <w:tab/>
        <w:t xml:space="preserve">Why are objects stored in </w:t>
      </w:r>
      <w:proofErr w:type="spellStart"/>
      <w:r w:rsidRPr="002366A2">
        <w:t>pbl’s</w:t>
      </w:r>
      <w:proofErr w:type="spellEnd"/>
      <w:r w:rsidRPr="002366A2">
        <w:t xml:space="preserve"> in two forms (source and pseudo-code)?</w:t>
      </w:r>
    </w:p>
    <w:p w14:paraId="58CD86F7" w14:textId="06A0AE0D" w:rsidR="002366A2" w:rsidRPr="002366A2" w:rsidRDefault="002366A2" w:rsidP="002366A2">
      <w:pPr>
        <w:ind w:left="360" w:hanging="360"/>
      </w:pPr>
      <w:r w:rsidRPr="002366A2">
        <w:t>A:</w:t>
      </w:r>
      <w:r w:rsidRPr="002366A2">
        <w:tab/>
        <w:t>The need and use of source code s</w:t>
      </w:r>
      <w:r>
        <w:t>hould be</w:t>
      </w:r>
      <w:r w:rsidRPr="002366A2">
        <w:t xml:space="preserve"> obvious. </w:t>
      </w:r>
      <w:r>
        <w:t>The inclusion</w:t>
      </w:r>
      <w:r w:rsidRPr="002366A2">
        <w:t xml:space="preserve"> of pseudo-code </w:t>
      </w:r>
      <w:r>
        <w:t xml:space="preserve">in a </w:t>
      </w:r>
      <w:proofErr w:type="spellStart"/>
      <w:r>
        <w:t>pbl</w:t>
      </w:r>
      <w:proofErr w:type="spellEnd"/>
      <w:r>
        <w:t xml:space="preserve"> </w:t>
      </w:r>
      <w:r w:rsidRPr="002366A2">
        <w:t>allow</w:t>
      </w:r>
      <w:r>
        <w:t>s</w:t>
      </w:r>
      <w:r w:rsidRPr="002366A2">
        <w:t xml:space="preserve"> a PB app to be executed from within the integrated development environment (IDE) as soon as all modified objects are saved, without requiring the app be compiled first.</w:t>
      </w:r>
    </w:p>
    <w:p w14:paraId="5FBF9F20" w14:textId="77777777" w:rsidR="002366A2" w:rsidRPr="002366A2" w:rsidRDefault="002366A2" w:rsidP="002366A2">
      <w:pPr>
        <w:ind w:left="360" w:hanging="360"/>
      </w:pPr>
      <w:r w:rsidRPr="002366A2">
        <w:t>Q:</w:t>
      </w:r>
      <w:r w:rsidRPr="002366A2">
        <w:tab/>
        <w:t xml:space="preserve">List as many of the various types of PB objects which can be saved/stored in </w:t>
      </w:r>
      <w:proofErr w:type="spellStart"/>
      <w:r w:rsidRPr="002366A2">
        <w:t>pbl’s</w:t>
      </w:r>
      <w:proofErr w:type="spellEnd"/>
      <w:r w:rsidRPr="002366A2">
        <w:t xml:space="preserve"> as you can:</w:t>
      </w:r>
    </w:p>
    <w:p w14:paraId="55486FF5" w14:textId="77777777" w:rsidR="002366A2" w:rsidRDefault="002366A2" w:rsidP="002366A2">
      <w:pPr>
        <w:ind w:left="360" w:hanging="360"/>
      </w:pPr>
      <w:r w:rsidRPr="002366A2">
        <w:t>A:</w:t>
      </w:r>
      <w:r w:rsidRPr="002366A2">
        <w:tab/>
        <w:t>Application Object</w:t>
      </w:r>
      <w:r w:rsidRPr="002366A2">
        <w:br/>
        <w:t>DataWindow Object</w:t>
      </w:r>
      <w:r w:rsidRPr="002366A2">
        <w:br/>
        <w:t>Function (global) Object</w:t>
      </w:r>
      <w:r w:rsidRPr="002366A2">
        <w:br/>
        <w:t>Menu Object</w:t>
      </w:r>
      <w:r w:rsidRPr="002366A2">
        <w:br/>
        <w:t>Query Object</w:t>
      </w:r>
      <w:r w:rsidRPr="002366A2">
        <w:br/>
        <w:t>Project Object</w:t>
      </w:r>
      <w:r w:rsidRPr="002366A2">
        <w:br/>
        <w:t>Structure Object</w:t>
      </w:r>
      <w:r w:rsidRPr="002366A2">
        <w:br/>
        <w:t>User Object</w:t>
      </w:r>
      <w:r w:rsidRPr="002366A2">
        <w:br/>
        <w:t>Window Object</w:t>
      </w:r>
    </w:p>
    <w:p w14:paraId="5732AA2A" w14:textId="546E8A33" w:rsidR="00ED5FDA" w:rsidRDefault="00ED5FDA" w:rsidP="002366A2">
      <w:pPr>
        <w:ind w:left="360" w:hanging="360"/>
      </w:pPr>
      <w:r>
        <w:t>Q:</w:t>
      </w:r>
      <w:r>
        <w:tab/>
        <w:t>What are “painters”?</w:t>
      </w:r>
    </w:p>
    <w:p w14:paraId="58185164" w14:textId="2678060E" w:rsidR="00ED5FDA" w:rsidRPr="002366A2" w:rsidRDefault="00ED5FDA" w:rsidP="002366A2">
      <w:pPr>
        <w:ind w:left="360" w:hanging="360"/>
      </w:pPr>
      <w:r>
        <w:t>A:</w:t>
      </w:r>
      <w:r>
        <w:tab/>
        <w:t>A painter is a window within the PowerBuilder IDE that is used by developers to create/modify the various type of PB objects. Each painter is unique and contains several panes dedicated to a specific set of tasks, but some panes (the PowerScript code editor, for example) are used in many painters</w:t>
      </w:r>
    </w:p>
    <w:p w14:paraId="56FBE1F8" w14:textId="77777777" w:rsidR="002366A2" w:rsidRPr="002366A2" w:rsidRDefault="002366A2" w:rsidP="002366A2">
      <w:pPr>
        <w:ind w:left="360" w:hanging="360"/>
      </w:pPr>
      <w:r w:rsidRPr="002366A2">
        <w:t>Q:</w:t>
      </w:r>
      <w:r w:rsidRPr="002366A2">
        <w:tab/>
        <w:t>What is the name of the PB coding language?</w:t>
      </w:r>
    </w:p>
    <w:p w14:paraId="1818CA60" w14:textId="77777777" w:rsidR="002366A2" w:rsidRPr="002366A2" w:rsidRDefault="002366A2" w:rsidP="002366A2">
      <w:pPr>
        <w:ind w:left="360" w:hanging="360"/>
      </w:pPr>
      <w:r w:rsidRPr="002366A2">
        <w:t>A:</w:t>
      </w:r>
      <w:r w:rsidRPr="002366A2">
        <w:tab/>
        <w:t>PowerScript</w:t>
      </w:r>
    </w:p>
    <w:p w14:paraId="0A189234" w14:textId="77777777" w:rsidR="002366A2" w:rsidRPr="002366A2" w:rsidRDefault="002366A2" w:rsidP="002366A2">
      <w:pPr>
        <w:ind w:left="360" w:hanging="360"/>
      </w:pPr>
      <w:r w:rsidRPr="002366A2">
        <w:t>Q:</w:t>
      </w:r>
      <w:r w:rsidRPr="002366A2">
        <w:tab/>
        <w:t xml:space="preserve">Describe the relationship between </w:t>
      </w:r>
      <w:proofErr w:type="spellStart"/>
      <w:r w:rsidRPr="002366A2">
        <w:t>pbl’s</w:t>
      </w:r>
      <w:proofErr w:type="spellEnd"/>
      <w:r w:rsidRPr="002366A2">
        <w:t>, workspaces, and targets.</w:t>
      </w:r>
    </w:p>
    <w:p w14:paraId="6BAD99BF" w14:textId="6E7FBA93" w:rsidR="002366A2" w:rsidRPr="002366A2" w:rsidRDefault="002366A2" w:rsidP="002366A2">
      <w:pPr>
        <w:ind w:left="360" w:hanging="360"/>
      </w:pPr>
      <w:r w:rsidRPr="002366A2">
        <w:t>A:</w:t>
      </w:r>
      <w:r w:rsidRPr="002366A2">
        <w:tab/>
        <w:t>A workspace</w:t>
      </w:r>
      <w:r w:rsidR="006064A9">
        <w:t xml:space="preserve"> </w:t>
      </w:r>
      <w:r w:rsidR="00ED5FDA">
        <w:t xml:space="preserve">is similar to a </w:t>
      </w:r>
      <w:r w:rsidR="006064A9">
        <w:t xml:space="preserve">solution in </w:t>
      </w:r>
      <w:r w:rsidR="00ED5FDA">
        <w:t>Visual Studio. It</w:t>
      </w:r>
      <w:r w:rsidRPr="002366A2">
        <w:t xml:space="preserve"> is a collection of one or more targets. Each target is a container for an executable application. A target contains one or more PowerBuilder libraries (</w:t>
      </w:r>
      <w:proofErr w:type="spellStart"/>
      <w:r w:rsidRPr="002366A2">
        <w:t>pbl’s</w:t>
      </w:r>
      <w:proofErr w:type="spellEnd"/>
      <w:r w:rsidRPr="002366A2">
        <w:t>).</w:t>
      </w:r>
    </w:p>
    <w:p w14:paraId="7DF031D0" w14:textId="33484298" w:rsidR="002366A2" w:rsidRPr="002366A2" w:rsidRDefault="002366A2" w:rsidP="002366A2">
      <w:pPr>
        <w:ind w:left="360" w:hanging="360"/>
      </w:pPr>
      <w:r w:rsidRPr="002366A2">
        <w:t>Q:</w:t>
      </w:r>
      <w:r w:rsidRPr="002366A2">
        <w:tab/>
        <w:t xml:space="preserve">Name the object and </w:t>
      </w:r>
      <w:r>
        <w:t xml:space="preserve">the </w:t>
      </w:r>
      <w:r w:rsidRPr="002366A2">
        <w:t xml:space="preserve">first method </w:t>
      </w:r>
      <w:r>
        <w:t xml:space="preserve">within that object </w:t>
      </w:r>
      <w:r w:rsidRPr="002366A2">
        <w:t>that is executed when a PowerBuilder program runs.</w:t>
      </w:r>
    </w:p>
    <w:p w14:paraId="02B3FB77" w14:textId="77777777" w:rsidR="002366A2" w:rsidRPr="002366A2" w:rsidRDefault="002366A2" w:rsidP="002366A2">
      <w:pPr>
        <w:ind w:left="360" w:hanging="360"/>
      </w:pPr>
      <w:r w:rsidRPr="002366A2">
        <w:t>A:</w:t>
      </w:r>
      <w:r w:rsidRPr="002366A2">
        <w:tab/>
        <w:t>The Open event of the Application object.</w:t>
      </w:r>
    </w:p>
    <w:p w14:paraId="4DC2C44B" w14:textId="77777777" w:rsidR="002366A2" w:rsidRPr="002366A2" w:rsidRDefault="002366A2" w:rsidP="002366A2">
      <w:pPr>
        <w:ind w:left="360" w:hanging="360"/>
      </w:pPr>
      <w:r w:rsidRPr="002366A2">
        <w:t>Q:</w:t>
      </w:r>
      <w:r w:rsidRPr="002366A2">
        <w:tab/>
        <w:t>List as many of the standard datatypes in PowerBuilder as you can:</w:t>
      </w:r>
    </w:p>
    <w:p w14:paraId="43F156B4" w14:textId="77777777" w:rsidR="002366A2" w:rsidRPr="002366A2" w:rsidRDefault="002366A2" w:rsidP="002366A2">
      <w:pPr>
        <w:ind w:left="360" w:hanging="360"/>
      </w:pPr>
      <w:r w:rsidRPr="002366A2">
        <w:lastRenderedPageBreak/>
        <w:t>A:</w:t>
      </w:r>
      <w:r w:rsidRPr="002366A2">
        <w:tab/>
        <w:t>Blob</w:t>
      </w:r>
      <w:r w:rsidRPr="002366A2">
        <w:br/>
        <w:t>Boolean</w:t>
      </w:r>
      <w:r w:rsidRPr="002366A2">
        <w:br/>
        <w:t>Byte</w:t>
      </w:r>
      <w:r w:rsidRPr="002366A2">
        <w:br/>
        <w:t>Character (or Char)</w:t>
      </w:r>
      <w:r w:rsidRPr="002366A2">
        <w:br/>
        <w:t>Date</w:t>
      </w:r>
      <w:r w:rsidRPr="002366A2">
        <w:br/>
        <w:t>Datetime</w:t>
      </w:r>
      <w:r w:rsidRPr="002366A2">
        <w:br/>
        <w:t>Decimal (or Dec)</w:t>
      </w:r>
      <w:r w:rsidRPr="002366A2">
        <w:br/>
        <w:t>Double</w:t>
      </w:r>
      <w:r w:rsidRPr="002366A2">
        <w:br/>
        <w:t>Integer (or Int)</w:t>
      </w:r>
      <w:r w:rsidRPr="002366A2">
        <w:br/>
      </w:r>
      <w:proofErr w:type="spellStart"/>
      <w:r w:rsidRPr="002366A2">
        <w:t>LongLong</w:t>
      </w:r>
      <w:proofErr w:type="spellEnd"/>
      <w:r w:rsidRPr="002366A2">
        <w:br/>
        <w:t>Long</w:t>
      </w:r>
      <w:r w:rsidRPr="002366A2">
        <w:br/>
        <w:t>Longptr</w:t>
      </w:r>
      <w:r w:rsidRPr="002366A2">
        <w:br/>
        <w:t>Real</w:t>
      </w:r>
      <w:r w:rsidRPr="002366A2">
        <w:br/>
        <w:t>String</w:t>
      </w:r>
      <w:r w:rsidRPr="002366A2">
        <w:br/>
        <w:t xml:space="preserve">UnsignedInteger (or </w:t>
      </w:r>
      <w:proofErr w:type="spellStart"/>
      <w:r w:rsidRPr="002366A2">
        <w:t>UnsignedInt</w:t>
      </w:r>
      <w:proofErr w:type="spellEnd"/>
      <w:r w:rsidRPr="002366A2">
        <w:t xml:space="preserve">, or </w:t>
      </w:r>
      <w:proofErr w:type="spellStart"/>
      <w:r w:rsidRPr="002366A2">
        <w:t>UInt</w:t>
      </w:r>
      <w:proofErr w:type="spellEnd"/>
      <w:r w:rsidRPr="002366A2">
        <w:t>)</w:t>
      </w:r>
      <w:r w:rsidRPr="002366A2">
        <w:br/>
      </w:r>
      <w:proofErr w:type="spellStart"/>
      <w:r w:rsidRPr="002366A2">
        <w:t>UnsignedLong</w:t>
      </w:r>
      <w:proofErr w:type="spellEnd"/>
      <w:r w:rsidRPr="002366A2">
        <w:t xml:space="preserve"> (or </w:t>
      </w:r>
      <w:proofErr w:type="spellStart"/>
      <w:r w:rsidRPr="002366A2">
        <w:t>ULong</w:t>
      </w:r>
      <w:proofErr w:type="spellEnd"/>
      <w:r w:rsidRPr="002366A2">
        <w:t>)</w:t>
      </w:r>
    </w:p>
    <w:p w14:paraId="1C97FFA0" w14:textId="762F8BD6" w:rsidR="002366A2" w:rsidRPr="002366A2" w:rsidRDefault="002366A2" w:rsidP="002366A2">
      <w:pPr>
        <w:ind w:left="360" w:hanging="360"/>
      </w:pPr>
      <w:r w:rsidRPr="002366A2">
        <w:t>Q:</w:t>
      </w:r>
      <w:r w:rsidRPr="002366A2">
        <w:tab/>
        <w:t>What makes the Longptr datatype unique from all other PB datatypes?</w:t>
      </w:r>
    </w:p>
    <w:p w14:paraId="0E365480" w14:textId="480BBA6D" w:rsidR="002366A2" w:rsidRPr="002366A2" w:rsidRDefault="002366A2" w:rsidP="002366A2">
      <w:pPr>
        <w:ind w:left="360" w:hanging="360"/>
      </w:pPr>
      <w:r w:rsidRPr="002366A2">
        <w:t>A:</w:t>
      </w:r>
      <w:r w:rsidRPr="002366A2">
        <w:tab/>
        <w:t xml:space="preserve">Its memory size and </w:t>
      </w:r>
      <w:r>
        <w:t xml:space="preserve">therefore, the </w:t>
      </w:r>
      <w:r w:rsidRPr="002366A2">
        <w:t>range of values</w:t>
      </w:r>
      <w:r>
        <w:t xml:space="preserve"> it may contain</w:t>
      </w:r>
      <w:r w:rsidRPr="002366A2">
        <w:t xml:space="preserve"> changes at execution time to match the </w:t>
      </w:r>
      <w:proofErr w:type="spellStart"/>
      <w:r w:rsidRPr="002366A2">
        <w:t>bitness</w:t>
      </w:r>
      <w:proofErr w:type="spellEnd"/>
      <w:r w:rsidRPr="002366A2">
        <w:t xml:space="preserve"> of the application (</w:t>
      </w:r>
      <w:r>
        <w:t xml:space="preserve">either </w:t>
      </w:r>
      <w:r w:rsidRPr="002366A2">
        <w:t>32-bit or 64-bit).</w:t>
      </w:r>
    </w:p>
    <w:p w14:paraId="55546EE4" w14:textId="77777777" w:rsidR="002366A2" w:rsidRPr="002366A2" w:rsidRDefault="002366A2" w:rsidP="002366A2">
      <w:pPr>
        <w:ind w:left="360" w:hanging="360"/>
      </w:pPr>
      <w:r w:rsidRPr="002366A2">
        <w:t>Q:</w:t>
      </w:r>
      <w:r w:rsidRPr="002366A2">
        <w:tab/>
        <w:t>Are the names of variables in PowerScript case-sensitive or case-insensitive?</w:t>
      </w:r>
    </w:p>
    <w:p w14:paraId="232F0A1B" w14:textId="77777777" w:rsidR="002366A2" w:rsidRPr="002366A2" w:rsidRDefault="002366A2" w:rsidP="002366A2">
      <w:pPr>
        <w:ind w:left="360" w:hanging="360"/>
      </w:pPr>
      <w:r w:rsidRPr="002366A2">
        <w:t>A:</w:t>
      </w:r>
      <w:r w:rsidRPr="002366A2">
        <w:tab/>
        <w:t>Case-insensitive.</w:t>
      </w:r>
    </w:p>
    <w:p w14:paraId="5EA36926" w14:textId="77777777" w:rsidR="002366A2" w:rsidRPr="002366A2" w:rsidRDefault="002366A2" w:rsidP="002366A2">
      <w:pPr>
        <w:ind w:left="360" w:hanging="360"/>
      </w:pPr>
      <w:r w:rsidRPr="002366A2">
        <w:t>Q:</w:t>
      </w:r>
      <w:r w:rsidRPr="002366A2">
        <w:tab/>
        <w:t>What is the difference between pseudo-code and machine code?</w:t>
      </w:r>
    </w:p>
    <w:p w14:paraId="3E05D19D" w14:textId="77777777" w:rsidR="002366A2" w:rsidRPr="002366A2" w:rsidRDefault="002366A2" w:rsidP="002366A2">
      <w:pPr>
        <w:ind w:left="360" w:hanging="360"/>
      </w:pPr>
      <w:r w:rsidRPr="002366A2">
        <w:t>A:</w:t>
      </w:r>
      <w:r w:rsidRPr="002366A2">
        <w:tab/>
        <w:t>Pseudo-code is source code that has been compiled into an intermediate language that is interpreted at execution time. Machine code is source code that has been compiled into the CPU’s (the “machine’s”) instruction set.</w:t>
      </w:r>
    </w:p>
    <w:p w14:paraId="004742B7" w14:textId="77777777" w:rsidR="002366A2" w:rsidRPr="002366A2" w:rsidRDefault="002366A2" w:rsidP="002366A2">
      <w:pPr>
        <w:ind w:left="360" w:hanging="360"/>
      </w:pPr>
      <w:r w:rsidRPr="002366A2">
        <w:t>Q:</w:t>
      </w:r>
      <w:r w:rsidRPr="002366A2">
        <w:tab/>
        <w:t>What is a “PBD”?</w:t>
      </w:r>
    </w:p>
    <w:p w14:paraId="48D70F51" w14:textId="7A3BB4CA" w:rsidR="002366A2" w:rsidRDefault="002366A2" w:rsidP="002366A2">
      <w:pPr>
        <w:ind w:left="360" w:hanging="360"/>
      </w:pPr>
      <w:r w:rsidRPr="002366A2">
        <w:t>A:</w:t>
      </w:r>
      <w:r w:rsidRPr="002366A2">
        <w:tab/>
        <w:t xml:space="preserve">A PBD is a </w:t>
      </w:r>
      <w:r>
        <w:t xml:space="preserve">binary </w:t>
      </w:r>
      <w:r w:rsidRPr="002366A2">
        <w:t>file that has the file extension “.</w:t>
      </w:r>
      <w:proofErr w:type="spellStart"/>
      <w:r w:rsidRPr="002366A2">
        <w:t>pbd</w:t>
      </w:r>
      <w:proofErr w:type="spellEnd"/>
      <w:r w:rsidRPr="002366A2">
        <w:t xml:space="preserve">” that is directly related to and uses the same filename as </w:t>
      </w:r>
      <w:r w:rsidR="00ED5FDA">
        <w:t>its corresponding</w:t>
      </w:r>
      <w:r w:rsidRPr="002366A2">
        <w:t xml:space="preserve"> </w:t>
      </w:r>
      <w:proofErr w:type="spellStart"/>
      <w:r w:rsidRPr="002366A2">
        <w:t>pbl</w:t>
      </w:r>
      <w:proofErr w:type="spellEnd"/>
      <w:r w:rsidRPr="002366A2">
        <w:t xml:space="preserve">. It contains the pseudo-code for all objects </w:t>
      </w:r>
      <w:r w:rsidR="00ED5FDA">
        <w:t>with</w:t>
      </w:r>
      <w:r w:rsidRPr="002366A2">
        <w:t xml:space="preserve">in </w:t>
      </w:r>
      <w:r w:rsidR="00ED5FDA">
        <w:t xml:space="preserve">the </w:t>
      </w:r>
      <w:proofErr w:type="spellStart"/>
      <w:r w:rsidR="00ED5FDA">
        <w:t>pbl</w:t>
      </w:r>
      <w:proofErr w:type="spellEnd"/>
      <w:r w:rsidRPr="002366A2">
        <w:t>, but without the PowerScript source cod</w:t>
      </w:r>
      <w:r w:rsidR="00ED5FDA">
        <w:t>e.</w:t>
      </w:r>
    </w:p>
    <w:p w14:paraId="3EDDB13D" w14:textId="65F6E9BA" w:rsidR="00ED5FDA" w:rsidRDefault="00ED5FDA" w:rsidP="002366A2">
      <w:pPr>
        <w:ind w:left="360" w:hanging="360"/>
      </w:pPr>
      <w:r>
        <w:t>Q:</w:t>
      </w:r>
      <w:r>
        <w:tab/>
        <w:t>How are PBD’s created?</w:t>
      </w:r>
    </w:p>
    <w:p w14:paraId="367E99F4" w14:textId="4753EF36" w:rsidR="00ED5FDA" w:rsidRPr="002366A2" w:rsidRDefault="00ED5FDA" w:rsidP="002366A2">
      <w:pPr>
        <w:ind w:left="360" w:hanging="360"/>
      </w:pPr>
      <w:r>
        <w:t>A:</w:t>
      </w:r>
      <w:r>
        <w:tab/>
        <w:t>The application’s PBD’s are created by using the “Deploy” feature of the Project Painter.</w:t>
      </w:r>
    </w:p>
    <w:p w14:paraId="7D73700A" w14:textId="77777777" w:rsidR="002366A2" w:rsidRPr="002366A2" w:rsidRDefault="002366A2" w:rsidP="002366A2">
      <w:pPr>
        <w:ind w:left="360" w:hanging="360"/>
      </w:pPr>
      <w:r w:rsidRPr="002366A2">
        <w:t>Q:</w:t>
      </w:r>
      <w:r w:rsidRPr="002366A2">
        <w:tab/>
        <w:t>How is machine code packaged (containerized) in a PowerBuilder application?</w:t>
      </w:r>
    </w:p>
    <w:p w14:paraId="509E2126" w14:textId="77777777" w:rsidR="002366A2" w:rsidRPr="002366A2" w:rsidRDefault="002366A2" w:rsidP="002366A2">
      <w:pPr>
        <w:ind w:left="360" w:hanging="360"/>
      </w:pPr>
      <w:r w:rsidRPr="002366A2">
        <w:t>A:</w:t>
      </w:r>
      <w:r w:rsidRPr="002366A2">
        <w:tab/>
        <w:t xml:space="preserve">When a PB application is compiled into machine code, a Dynamic-Link Library (DLL) is produced from each of the </w:t>
      </w:r>
      <w:proofErr w:type="spellStart"/>
      <w:r w:rsidRPr="002366A2">
        <w:t>pbl’s</w:t>
      </w:r>
      <w:proofErr w:type="spellEnd"/>
      <w:r w:rsidRPr="002366A2">
        <w:t xml:space="preserve"> in the application.</w:t>
      </w:r>
    </w:p>
    <w:p w14:paraId="5D6A8FD6" w14:textId="77777777" w:rsidR="002366A2" w:rsidRPr="002366A2" w:rsidRDefault="002366A2" w:rsidP="002366A2">
      <w:pPr>
        <w:pStyle w:val="Heading2"/>
      </w:pPr>
      <w:r w:rsidRPr="002366A2">
        <w:t>DataWindow Questions</w:t>
      </w:r>
    </w:p>
    <w:p w14:paraId="5C1CE732" w14:textId="4B956D6C" w:rsidR="002366A2" w:rsidRPr="002366A2" w:rsidRDefault="002366A2" w:rsidP="002366A2">
      <w:pPr>
        <w:ind w:left="360" w:hanging="360"/>
      </w:pPr>
      <w:r w:rsidRPr="002366A2">
        <w:t>Q:</w:t>
      </w:r>
      <w:r w:rsidRPr="002366A2">
        <w:tab/>
        <w:t xml:space="preserve">The DataWindow is the proprietary and most </w:t>
      </w:r>
      <w:r w:rsidR="006064A9">
        <w:t>unique</w:t>
      </w:r>
      <w:r w:rsidRPr="002366A2">
        <w:t xml:space="preserve"> technology within PowerBuilder. The term “DataWindow” can </w:t>
      </w:r>
      <w:r w:rsidR="006064A9">
        <w:t>(</w:t>
      </w:r>
      <w:r w:rsidRPr="002366A2">
        <w:t>unfortunately</w:t>
      </w:r>
      <w:r w:rsidR="006064A9">
        <w:t>)</w:t>
      </w:r>
      <w:r w:rsidRPr="002366A2">
        <w:t xml:space="preserve"> refer to multiple things. Define and describe distinctions </w:t>
      </w:r>
      <w:r w:rsidRPr="002366A2">
        <w:lastRenderedPageBreak/>
        <w:t>between each of the following:</w:t>
      </w:r>
      <w:r w:rsidRPr="002366A2">
        <w:br/>
      </w:r>
      <w:r w:rsidRPr="002366A2">
        <w:tab/>
        <w:t>a) The DataWindow control.</w:t>
      </w:r>
      <w:r w:rsidRPr="002366A2">
        <w:br/>
      </w:r>
      <w:r w:rsidRPr="002366A2">
        <w:tab/>
        <w:t>b) The DataWindow data object (or DataWindow object [two separate words]).</w:t>
      </w:r>
      <w:r w:rsidRPr="002366A2">
        <w:br/>
      </w:r>
      <w:r w:rsidRPr="002366A2">
        <w:tab/>
        <w:t xml:space="preserve">c) The </w:t>
      </w:r>
      <w:proofErr w:type="spellStart"/>
      <w:r w:rsidRPr="002366A2">
        <w:t>DataWindowObject</w:t>
      </w:r>
      <w:proofErr w:type="spellEnd"/>
      <w:r w:rsidRPr="002366A2">
        <w:t xml:space="preserve"> (one word, or DWObject, or DWO).</w:t>
      </w:r>
    </w:p>
    <w:p w14:paraId="5BDE5CED" w14:textId="495387B0" w:rsidR="002366A2" w:rsidRPr="002366A2" w:rsidRDefault="002366A2" w:rsidP="002366A2">
      <w:pPr>
        <w:ind w:left="360" w:hanging="360"/>
      </w:pPr>
      <w:r w:rsidRPr="002366A2">
        <w:t>A:</w:t>
      </w:r>
      <w:r w:rsidRPr="002366A2">
        <w:tab/>
      </w:r>
      <w:r w:rsidR="006064A9" w:rsidRPr="002366A2">
        <w:t>(</w:t>
      </w:r>
      <w:r w:rsidR="006064A9">
        <w:t>a</w:t>
      </w:r>
      <w:r w:rsidR="006064A9" w:rsidRPr="002366A2">
        <w:t>) The DataWindow control is a container for a DataWindow data object that is place</w:t>
      </w:r>
      <w:r w:rsidR="006064A9">
        <w:t>d</w:t>
      </w:r>
      <w:r w:rsidR="006064A9" w:rsidRPr="002366A2">
        <w:t xml:space="preserve"> in a window or visual user object that manages the interaction between a user and the data. </w:t>
      </w:r>
      <w:r w:rsidR="006064A9">
        <w:t>A DataWindow control</w:t>
      </w:r>
      <w:r w:rsidR="006064A9" w:rsidRPr="002366A2">
        <w:t xml:space="preserve"> contains function</w:t>
      </w:r>
      <w:r w:rsidR="006064A9">
        <w:t>s</w:t>
      </w:r>
      <w:r w:rsidR="006064A9" w:rsidRPr="002366A2">
        <w:t xml:space="preserve"> and/or events.</w:t>
      </w:r>
      <w:r w:rsidR="006064A9" w:rsidRPr="002366A2">
        <w:br/>
      </w:r>
      <w:r w:rsidRPr="002366A2">
        <w:t>(</w:t>
      </w:r>
      <w:r w:rsidR="006064A9">
        <w:t>b</w:t>
      </w:r>
      <w:r w:rsidRPr="002366A2">
        <w:t xml:space="preserve">) The DataWindow data object contains </w:t>
      </w:r>
      <w:r w:rsidR="006064A9">
        <w:t>a</w:t>
      </w:r>
      <w:r w:rsidRPr="002366A2">
        <w:t xml:space="preserve"> data source (where the data comes from and how the data gets stored in a relational database) and </w:t>
      </w:r>
      <w:r w:rsidR="006064A9">
        <w:t>a</w:t>
      </w:r>
      <w:r w:rsidRPr="002366A2">
        <w:t xml:space="preserve"> </w:t>
      </w:r>
      <w:r w:rsidR="006064A9">
        <w:t>description of the vi</w:t>
      </w:r>
      <w:r w:rsidRPr="002366A2">
        <w:t>sual presentation of the data. It contains no methods (functions or event).</w:t>
      </w:r>
      <w:r w:rsidRPr="002366A2">
        <w:br/>
        <w:t xml:space="preserve">(c) The </w:t>
      </w:r>
      <w:proofErr w:type="spellStart"/>
      <w:r w:rsidRPr="002366A2">
        <w:t>DataWindowObject</w:t>
      </w:r>
      <w:proofErr w:type="spellEnd"/>
      <w:r w:rsidRPr="002366A2">
        <w:t xml:space="preserve"> is an object defined within the DataWindow data object</w:t>
      </w:r>
      <w:r w:rsidR="006064A9">
        <w:t>. DWO’s are</w:t>
      </w:r>
      <w:r w:rsidRPr="002366A2">
        <w:t xml:space="preserve"> used to retrieve, present, and manipulate data. There are several types of </w:t>
      </w:r>
      <w:proofErr w:type="spellStart"/>
      <w:r w:rsidRPr="002366A2">
        <w:t>DataWindowObjects</w:t>
      </w:r>
      <w:proofErr w:type="spellEnd"/>
      <w:r w:rsidRPr="002366A2">
        <w:t>.</w:t>
      </w:r>
    </w:p>
    <w:p w14:paraId="7C9FE249" w14:textId="77777777" w:rsidR="002366A2" w:rsidRPr="002366A2" w:rsidRDefault="002366A2" w:rsidP="002366A2">
      <w:pPr>
        <w:ind w:left="360" w:hanging="360"/>
      </w:pPr>
      <w:r w:rsidRPr="002366A2">
        <w:t>Q:</w:t>
      </w:r>
      <w:r w:rsidRPr="002366A2">
        <w:tab/>
        <w:t>How would you describe a “DataWindow” data object?</w:t>
      </w:r>
    </w:p>
    <w:p w14:paraId="1CB903D5" w14:textId="6CAC60EC" w:rsidR="002366A2" w:rsidRPr="002366A2" w:rsidRDefault="002366A2" w:rsidP="002366A2">
      <w:pPr>
        <w:ind w:left="360" w:hanging="360"/>
      </w:pPr>
      <w:r w:rsidRPr="002366A2">
        <w:t>A:</w:t>
      </w:r>
      <w:r w:rsidRPr="002366A2">
        <w:tab/>
        <w:t>A DataWindow data object (often referred to as a DataWindow object [two words]) is the combination of a “data source” and “visual presentation.</w:t>
      </w:r>
      <w:r w:rsidR="006064A9">
        <w:t>”</w:t>
      </w:r>
      <w:r w:rsidRPr="002366A2">
        <w:t xml:space="preserve"> The data source describes the composition of the data columns, how the information is obtained, </w:t>
      </w:r>
      <w:r w:rsidR="006064A9">
        <w:t xml:space="preserve">how the data can be </w:t>
      </w:r>
      <w:r w:rsidRPr="002366A2">
        <w:t xml:space="preserve">optionally sorted and grouped, and the </w:t>
      </w:r>
      <w:r w:rsidR="006064A9">
        <w:t xml:space="preserve">contains the </w:t>
      </w:r>
      <w:r w:rsidRPr="002366A2">
        <w:t xml:space="preserve">rules that define how the data is to be managed in a relational database. The visual presentation identifies which one of the supported presentation styles/types is to be used along with the visual properties of each </w:t>
      </w:r>
      <w:proofErr w:type="spellStart"/>
      <w:r w:rsidR="006064A9">
        <w:t>DataWindwObject</w:t>
      </w:r>
      <w:proofErr w:type="spellEnd"/>
      <w:r w:rsidRPr="002366A2">
        <w:t xml:space="preserve"> </w:t>
      </w:r>
      <w:r w:rsidR="006064A9">
        <w:t>it contains</w:t>
      </w:r>
      <w:r w:rsidRPr="002366A2">
        <w:t>.</w:t>
      </w:r>
    </w:p>
    <w:p w14:paraId="00D4B8DB" w14:textId="77777777" w:rsidR="002366A2" w:rsidRPr="002366A2" w:rsidRDefault="002366A2" w:rsidP="002366A2">
      <w:pPr>
        <w:ind w:left="360" w:hanging="360"/>
      </w:pPr>
      <w:r w:rsidRPr="002366A2">
        <w:t>Q:</w:t>
      </w:r>
      <w:r w:rsidRPr="002366A2">
        <w:tab/>
        <w:t>List as many of various types of DataWindow presentation styles as you can:</w:t>
      </w:r>
    </w:p>
    <w:p w14:paraId="7BC45F0E" w14:textId="77777777" w:rsidR="002366A2" w:rsidRPr="002366A2" w:rsidRDefault="002366A2" w:rsidP="002366A2">
      <w:pPr>
        <w:ind w:left="360" w:hanging="360"/>
      </w:pPr>
      <w:r w:rsidRPr="002366A2">
        <w:t>A:</w:t>
      </w:r>
      <w:r w:rsidRPr="002366A2">
        <w:tab/>
        <w:t>Composite</w:t>
      </w:r>
      <w:r w:rsidRPr="002366A2">
        <w:br/>
        <w:t>Crosstab</w:t>
      </w:r>
      <w:r w:rsidRPr="002366A2">
        <w:br/>
        <w:t>Freeform (or Free-Format)</w:t>
      </w:r>
      <w:r w:rsidRPr="002366A2">
        <w:br/>
        <w:t>Graph</w:t>
      </w:r>
      <w:r w:rsidRPr="002366A2">
        <w:br/>
        <w:t>Grid</w:t>
      </w:r>
      <w:r w:rsidRPr="002366A2">
        <w:br/>
        <w:t>Group</w:t>
      </w:r>
      <w:r w:rsidRPr="002366A2">
        <w:br/>
        <w:t>Label</w:t>
      </w:r>
      <w:r w:rsidRPr="002366A2">
        <w:br/>
        <w:t>N-Up</w:t>
      </w:r>
      <w:r w:rsidRPr="002366A2">
        <w:br/>
        <w:t>OLE 2.0</w:t>
      </w:r>
      <w:r w:rsidRPr="002366A2">
        <w:br/>
        <w:t>Rich Text</w:t>
      </w:r>
      <w:r w:rsidRPr="002366A2">
        <w:br/>
        <w:t>Tabular</w:t>
      </w:r>
      <w:r w:rsidRPr="002366A2">
        <w:br/>
      </w:r>
      <w:proofErr w:type="spellStart"/>
      <w:r w:rsidRPr="002366A2">
        <w:t>Treeview</w:t>
      </w:r>
      <w:proofErr w:type="spellEnd"/>
    </w:p>
    <w:p w14:paraId="377F9074" w14:textId="77777777" w:rsidR="002366A2" w:rsidRPr="002366A2" w:rsidRDefault="002366A2" w:rsidP="002366A2">
      <w:pPr>
        <w:ind w:left="360" w:hanging="360"/>
      </w:pPr>
      <w:r w:rsidRPr="002366A2">
        <w:t>Q:</w:t>
      </w:r>
      <w:r w:rsidRPr="002366A2">
        <w:tab/>
        <w:t xml:space="preserve">List four or more types of </w:t>
      </w:r>
      <w:proofErr w:type="spellStart"/>
      <w:r w:rsidRPr="002366A2">
        <w:t>DataWindowObjects</w:t>
      </w:r>
      <w:proofErr w:type="spellEnd"/>
      <w:r w:rsidRPr="002366A2">
        <w:t>:</w:t>
      </w:r>
    </w:p>
    <w:p w14:paraId="33D5749A" w14:textId="3C39C3D8" w:rsidR="002366A2" w:rsidRPr="002366A2" w:rsidRDefault="002366A2" w:rsidP="002366A2">
      <w:pPr>
        <w:ind w:left="360" w:hanging="360"/>
      </w:pPr>
      <w:r w:rsidRPr="002366A2">
        <w:t>A:</w:t>
      </w:r>
      <w:r w:rsidRPr="002366A2">
        <w:tab/>
        <w:t>Buttons</w:t>
      </w:r>
      <w:r w:rsidRPr="002366A2">
        <w:br/>
        <w:t>Columns</w:t>
      </w:r>
      <w:r w:rsidRPr="002366A2">
        <w:br/>
        <w:t>Computed fields</w:t>
      </w:r>
      <w:r w:rsidRPr="002366A2">
        <w:br/>
        <w:t>Graphs</w:t>
      </w:r>
      <w:r w:rsidRPr="002366A2">
        <w:br/>
      </w:r>
      <w:proofErr w:type="spellStart"/>
      <w:r w:rsidRPr="002366A2">
        <w:t>GroupBoxes</w:t>
      </w:r>
      <w:proofErr w:type="spellEnd"/>
      <w:r w:rsidRPr="002366A2">
        <w:br/>
      </w:r>
      <w:proofErr w:type="spellStart"/>
      <w:r w:rsidRPr="002366A2">
        <w:t>InkPicture</w:t>
      </w:r>
      <w:proofErr w:type="spellEnd"/>
      <w:r w:rsidRPr="002366A2">
        <w:br/>
        <w:t>Lines</w:t>
      </w:r>
      <w:r w:rsidRPr="002366A2">
        <w:br/>
      </w:r>
      <w:r w:rsidRPr="002366A2">
        <w:lastRenderedPageBreak/>
        <w:t>OLE objects</w:t>
      </w:r>
      <w:r w:rsidRPr="002366A2">
        <w:br/>
        <w:t xml:space="preserve">Ovals, Rectangles, and </w:t>
      </w:r>
      <w:proofErr w:type="spellStart"/>
      <w:r w:rsidRPr="002366A2">
        <w:t>RoundRectangles</w:t>
      </w:r>
      <w:proofErr w:type="spellEnd"/>
      <w:r w:rsidR="006064A9">
        <w:t xml:space="preserve"> (which collectively can be called Drawing Objects)</w:t>
      </w:r>
      <w:r w:rsidRPr="002366A2">
        <w:br/>
        <w:t>Pictures</w:t>
      </w:r>
      <w:r w:rsidRPr="002366A2">
        <w:br/>
        <w:t>Reports</w:t>
      </w:r>
      <w:r w:rsidRPr="002366A2">
        <w:br/>
        <w:t>Text</w:t>
      </w:r>
    </w:p>
    <w:p w14:paraId="1EE71635" w14:textId="77777777" w:rsidR="002366A2" w:rsidRPr="002366A2" w:rsidRDefault="002366A2" w:rsidP="002366A2">
      <w:pPr>
        <w:ind w:left="360" w:hanging="360"/>
      </w:pPr>
      <w:r w:rsidRPr="002366A2">
        <w:t>Q:</w:t>
      </w:r>
      <w:r w:rsidRPr="002366A2">
        <w:tab/>
        <w:t>What are “edit style types”?</w:t>
      </w:r>
    </w:p>
    <w:p w14:paraId="224BB610" w14:textId="77777777" w:rsidR="002366A2" w:rsidRPr="002366A2" w:rsidRDefault="002366A2" w:rsidP="002366A2">
      <w:pPr>
        <w:ind w:left="360" w:hanging="360"/>
      </w:pPr>
      <w:r w:rsidRPr="002366A2">
        <w:t>A:</w:t>
      </w:r>
      <w:r w:rsidRPr="002366A2">
        <w:tab/>
        <w:t xml:space="preserve">An edit style type is a pre-defined collection of properties that describes the visual presentation of a column </w:t>
      </w:r>
      <w:proofErr w:type="spellStart"/>
      <w:r w:rsidRPr="002366A2">
        <w:t>DataWindowObject</w:t>
      </w:r>
      <w:proofErr w:type="spellEnd"/>
      <w:r w:rsidRPr="002366A2">
        <w:t xml:space="preserve"> and how a user can input or modify the data value in the column.</w:t>
      </w:r>
    </w:p>
    <w:p w14:paraId="4D94503D" w14:textId="77777777" w:rsidR="002366A2" w:rsidRPr="002366A2" w:rsidRDefault="002366A2" w:rsidP="002366A2">
      <w:pPr>
        <w:ind w:left="360" w:hanging="360"/>
      </w:pPr>
      <w:r w:rsidRPr="002366A2">
        <w:t>Q:</w:t>
      </w:r>
      <w:r w:rsidRPr="002366A2">
        <w:tab/>
        <w:t>Name as many edit styles as you can:</w:t>
      </w:r>
    </w:p>
    <w:p w14:paraId="4DD7187D" w14:textId="77777777" w:rsidR="002366A2" w:rsidRPr="002366A2" w:rsidRDefault="002366A2" w:rsidP="002366A2">
      <w:pPr>
        <w:ind w:left="360" w:hanging="360"/>
      </w:pPr>
      <w:r w:rsidRPr="002366A2">
        <w:t>A:</w:t>
      </w:r>
      <w:r w:rsidRPr="002366A2">
        <w:tab/>
        <w:t>Checkbox</w:t>
      </w:r>
      <w:r w:rsidRPr="002366A2">
        <w:br/>
      </w:r>
      <w:proofErr w:type="spellStart"/>
      <w:r w:rsidRPr="002366A2">
        <w:t>DropDownDataWindow</w:t>
      </w:r>
      <w:proofErr w:type="spellEnd"/>
      <w:r w:rsidRPr="002366A2">
        <w:t xml:space="preserve"> (or DDDW)</w:t>
      </w:r>
      <w:r w:rsidRPr="002366A2">
        <w:br/>
      </w:r>
      <w:proofErr w:type="spellStart"/>
      <w:r w:rsidRPr="002366A2">
        <w:t>DropDownListBox</w:t>
      </w:r>
      <w:proofErr w:type="spellEnd"/>
      <w:r w:rsidRPr="002366A2">
        <w:t xml:space="preserve"> (or DDLB)</w:t>
      </w:r>
      <w:r w:rsidRPr="002366A2">
        <w:br/>
        <w:t>Edit</w:t>
      </w:r>
      <w:r w:rsidRPr="002366A2">
        <w:br/>
      </w:r>
      <w:proofErr w:type="spellStart"/>
      <w:r w:rsidRPr="002366A2">
        <w:t>EditMask</w:t>
      </w:r>
      <w:proofErr w:type="spellEnd"/>
      <w:r w:rsidRPr="002366A2">
        <w:br/>
      </w:r>
      <w:proofErr w:type="spellStart"/>
      <w:r w:rsidRPr="002366A2">
        <w:t>InkEdit</w:t>
      </w:r>
      <w:proofErr w:type="spellEnd"/>
      <w:r w:rsidRPr="002366A2">
        <w:br/>
      </w:r>
      <w:proofErr w:type="spellStart"/>
      <w:r w:rsidRPr="002366A2">
        <w:t>RadioButton</w:t>
      </w:r>
      <w:proofErr w:type="spellEnd"/>
      <w:r w:rsidRPr="002366A2">
        <w:br/>
      </w:r>
      <w:proofErr w:type="spellStart"/>
      <w:r w:rsidRPr="002366A2">
        <w:t>RichText</w:t>
      </w:r>
      <w:proofErr w:type="spellEnd"/>
    </w:p>
    <w:p w14:paraId="4FD35591" w14:textId="77777777" w:rsidR="002366A2" w:rsidRPr="002366A2" w:rsidRDefault="002366A2" w:rsidP="002366A2">
      <w:pPr>
        <w:ind w:left="360" w:hanging="360"/>
      </w:pPr>
      <w:r w:rsidRPr="002366A2">
        <w:t>Q:</w:t>
      </w:r>
      <w:r w:rsidRPr="002366A2">
        <w:tab/>
        <w:t xml:space="preserve">What is the difference between a </w:t>
      </w:r>
      <w:proofErr w:type="spellStart"/>
      <w:r w:rsidRPr="002366A2">
        <w:t>DropDownDataWindow</w:t>
      </w:r>
      <w:proofErr w:type="spellEnd"/>
      <w:r w:rsidRPr="002366A2">
        <w:t xml:space="preserve"> and a </w:t>
      </w:r>
      <w:proofErr w:type="spellStart"/>
      <w:r w:rsidRPr="002366A2">
        <w:t>DataWindowChild</w:t>
      </w:r>
      <w:proofErr w:type="spellEnd"/>
      <w:r w:rsidRPr="002366A2">
        <w:t>?</w:t>
      </w:r>
    </w:p>
    <w:p w14:paraId="79867390" w14:textId="77777777" w:rsidR="002366A2" w:rsidRPr="002366A2" w:rsidRDefault="002366A2" w:rsidP="002366A2">
      <w:pPr>
        <w:ind w:left="360" w:hanging="360"/>
      </w:pPr>
      <w:r w:rsidRPr="002366A2">
        <w:t>A:</w:t>
      </w:r>
      <w:r w:rsidRPr="002366A2">
        <w:tab/>
        <w:t xml:space="preserve">They are frequently (and loosely) considered to be the same, but technically, a DDDW is an edit style type and a </w:t>
      </w:r>
      <w:proofErr w:type="spellStart"/>
      <w:r w:rsidRPr="002366A2">
        <w:t>DataWindowChild</w:t>
      </w:r>
      <w:proofErr w:type="spellEnd"/>
      <w:r w:rsidRPr="002366A2">
        <w:t xml:space="preserve"> is an instantiated object of a column that uses the DDDW edit style type.</w:t>
      </w:r>
    </w:p>
    <w:p w14:paraId="360C5DFD" w14:textId="77777777" w:rsidR="002366A2" w:rsidRPr="002366A2" w:rsidRDefault="002366A2" w:rsidP="002366A2">
      <w:pPr>
        <w:ind w:left="360" w:hanging="360"/>
      </w:pPr>
      <w:r w:rsidRPr="002366A2">
        <w:t>Q:</w:t>
      </w:r>
      <w:r w:rsidRPr="002366A2">
        <w:tab/>
        <w:t xml:space="preserve">What PowerScript function is used to obtain a reference to a </w:t>
      </w:r>
      <w:proofErr w:type="spellStart"/>
      <w:r w:rsidRPr="002366A2">
        <w:t>DataWindowChild</w:t>
      </w:r>
      <w:proofErr w:type="spellEnd"/>
      <w:r w:rsidRPr="002366A2">
        <w:t xml:space="preserve"> object?</w:t>
      </w:r>
    </w:p>
    <w:p w14:paraId="137E845C" w14:textId="77777777" w:rsidR="002366A2" w:rsidRPr="002366A2" w:rsidRDefault="002366A2" w:rsidP="002366A2">
      <w:pPr>
        <w:ind w:left="360" w:hanging="360"/>
      </w:pPr>
      <w:r w:rsidRPr="002366A2">
        <w:t>A:</w:t>
      </w:r>
      <w:r w:rsidRPr="002366A2">
        <w:tab/>
        <w:t xml:space="preserve">The </w:t>
      </w:r>
      <w:proofErr w:type="spellStart"/>
      <w:r w:rsidRPr="002366A2">
        <w:t>GetChild</w:t>
      </w:r>
      <w:proofErr w:type="spellEnd"/>
      <w:r w:rsidRPr="002366A2">
        <w:t xml:space="preserve"> function.</w:t>
      </w:r>
    </w:p>
    <w:p w14:paraId="77A881E7" w14:textId="77777777" w:rsidR="002366A2" w:rsidRPr="002366A2" w:rsidRDefault="002366A2" w:rsidP="002366A2">
      <w:pPr>
        <w:ind w:left="360" w:hanging="360"/>
      </w:pPr>
      <w:r w:rsidRPr="002366A2">
        <w:t>Q.</w:t>
      </w:r>
      <w:r w:rsidRPr="002366A2">
        <w:tab/>
        <w:t>What is a DataStore?</w:t>
      </w:r>
    </w:p>
    <w:p w14:paraId="168C7BDF" w14:textId="77777777" w:rsidR="002366A2" w:rsidRPr="002366A2" w:rsidRDefault="002366A2" w:rsidP="002366A2">
      <w:pPr>
        <w:ind w:left="360" w:hanging="360"/>
      </w:pPr>
      <w:r w:rsidRPr="002366A2">
        <w:t>A:</w:t>
      </w:r>
      <w:r w:rsidRPr="002366A2">
        <w:tab/>
        <w:t>A DataStore is a non-visual container for a DataWindow data object. It provides all or almost all of the data manipulation and management capabilities of a DataWindow control, but without any visual properties.</w:t>
      </w:r>
    </w:p>
    <w:p w14:paraId="2678E4B8" w14:textId="77777777" w:rsidR="002366A2" w:rsidRPr="002366A2" w:rsidRDefault="002366A2" w:rsidP="002366A2">
      <w:pPr>
        <w:ind w:left="360" w:hanging="360"/>
      </w:pPr>
      <w:r w:rsidRPr="002366A2">
        <w:t>Q:</w:t>
      </w:r>
      <w:r w:rsidRPr="002366A2">
        <w:tab/>
        <w:t>Name as many of the data sources that can be used in a DataWindow data object:</w:t>
      </w:r>
    </w:p>
    <w:p w14:paraId="06EB1DFF" w14:textId="77777777" w:rsidR="002366A2" w:rsidRPr="002366A2" w:rsidRDefault="002366A2" w:rsidP="002366A2">
      <w:pPr>
        <w:ind w:left="360" w:hanging="360"/>
      </w:pPr>
      <w:r w:rsidRPr="002366A2">
        <w:t>A:</w:t>
      </w:r>
      <w:r w:rsidRPr="002366A2">
        <w:tab/>
        <w:t>Quick Select</w:t>
      </w:r>
      <w:r w:rsidRPr="002366A2">
        <w:br/>
        <w:t>SQL Select</w:t>
      </w:r>
      <w:r w:rsidRPr="002366A2">
        <w:br/>
        <w:t>Query (object)</w:t>
      </w:r>
      <w:r w:rsidRPr="002366A2">
        <w:br/>
        <w:t>External</w:t>
      </w:r>
      <w:r w:rsidRPr="002366A2">
        <w:br/>
        <w:t>Stored Procedure</w:t>
      </w:r>
      <w:r w:rsidRPr="002366A2">
        <w:br/>
        <w:t>Web Service</w:t>
      </w:r>
      <w:r w:rsidRPr="002366A2">
        <w:br/>
        <w:t>OData Service</w:t>
      </w:r>
    </w:p>
    <w:p w14:paraId="04EA6721" w14:textId="77777777" w:rsidR="002366A2" w:rsidRPr="002366A2" w:rsidRDefault="002366A2" w:rsidP="002366A2">
      <w:pPr>
        <w:ind w:left="360" w:hanging="360"/>
      </w:pPr>
      <w:r w:rsidRPr="002366A2">
        <w:t>Q:</w:t>
      </w:r>
      <w:r w:rsidRPr="002366A2">
        <w:tab/>
        <w:t>Name as many of the measurement unit types in a DataWindow data object as you can:</w:t>
      </w:r>
    </w:p>
    <w:p w14:paraId="2F8305E7" w14:textId="77777777" w:rsidR="002366A2" w:rsidRPr="002366A2" w:rsidRDefault="002366A2" w:rsidP="002366A2">
      <w:pPr>
        <w:ind w:left="360" w:hanging="360"/>
      </w:pPr>
      <w:r w:rsidRPr="002366A2">
        <w:lastRenderedPageBreak/>
        <w:t>A:</w:t>
      </w:r>
      <w:r w:rsidRPr="002366A2">
        <w:tab/>
        <w:t>PowerBuilder Units (PBU’s).</w:t>
      </w:r>
      <w:r w:rsidRPr="002366A2">
        <w:br/>
        <w:t>Pixels</w:t>
      </w:r>
      <w:r w:rsidRPr="002366A2">
        <w:br/>
        <w:t>1/1000</w:t>
      </w:r>
      <w:r w:rsidRPr="002366A2">
        <w:rPr>
          <w:vertAlign w:val="superscript"/>
        </w:rPr>
        <w:t>th</w:t>
      </w:r>
      <w:r w:rsidRPr="002366A2">
        <w:t xml:space="preserve"> Inch</w:t>
      </w:r>
      <w:r w:rsidRPr="002366A2">
        <w:br/>
        <w:t>1/1000</w:t>
      </w:r>
      <w:r w:rsidRPr="002366A2">
        <w:rPr>
          <w:vertAlign w:val="superscript"/>
        </w:rPr>
        <w:t>th</w:t>
      </w:r>
      <w:r w:rsidRPr="002366A2">
        <w:t xml:space="preserve"> Centimeter</w:t>
      </w:r>
    </w:p>
    <w:p w14:paraId="50862923" w14:textId="77777777" w:rsidR="002366A2" w:rsidRPr="002366A2" w:rsidRDefault="002366A2" w:rsidP="002366A2">
      <w:pPr>
        <w:ind w:left="360" w:hanging="360"/>
      </w:pPr>
      <w:r w:rsidRPr="002366A2">
        <w:t>Q:</w:t>
      </w:r>
      <w:r w:rsidRPr="002366A2">
        <w:tab/>
        <w:t>The data managed by a DataWindow control or DataStore is organized into “buffers”. Name each of the buffers and how PB uses them:</w:t>
      </w:r>
    </w:p>
    <w:p w14:paraId="45E502B9" w14:textId="77777777" w:rsidR="002366A2" w:rsidRPr="002366A2" w:rsidRDefault="002366A2" w:rsidP="002366A2">
      <w:pPr>
        <w:ind w:left="360" w:hanging="360"/>
      </w:pPr>
      <w:r w:rsidRPr="002366A2">
        <w:t>A:</w:t>
      </w:r>
      <w:r w:rsidRPr="002366A2">
        <w:tab/>
        <w:t>Primary</w:t>
      </w:r>
      <w:r w:rsidRPr="002366A2">
        <w:tab/>
        <w:t>The current data values, including new and/or modified values.</w:t>
      </w:r>
      <w:r w:rsidRPr="002366A2">
        <w:br/>
        <w:t>Original</w:t>
      </w:r>
      <w:r w:rsidRPr="002366A2">
        <w:tab/>
        <w:t>The original, unchanged data values.</w:t>
      </w:r>
      <w:r w:rsidRPr="002366A2">
        <w:br/>
        <w:t>Delete</w:t>
      </w:r>
      <w:r w:rsidRPr="002366A2">
        <w:tab/>
        <w:t>Rows that have been removed from the Primary buffer, but not yet deleted from the</w:t>
      </w:r>
      <w:r w:rsidRPr="002366A2">
        <w:br/>
        <w:t xml:space="preserve"> </w:t>
      </w:r>
      <w:r w:rsidRPr="002366A2">
        <w:tab/>
      </w:r>
      <w:r w:rsidRPr="002366A2">
        <w:tab/>
        <w:t>database.</w:t>
      </w:r>
      <w:r w:rsidRPr="002366A2">
        <w:br/>
        <w:t>Filter</w:t>
      </w:r>
      <w:r w:rsidRPr="002366A2">
        <w:tab/>
        <w:t>Rows from the Primary buffer that have been temporarily removed by the application</w:t>
      </w:r>
      <w:r w:rsidRPr="002366A2">
        <w:br/>
        <w:t xml:space="preserve"> </w:t>
      </w:r>
      <w:r w:rsidRPr="002366A2">
        <w:tab/>
      </w:r>
      <w:r w:rsidRPr="002366A2">
        <w:tab/>
        <w:t>of a data filter.</w:t>
      </w:r>
    </w:p>
    <w:p w14:paraId="7DA65955" w14:textId="77777777" w:rsidR="002366A2" w:rsidRPr="002366A2" w:rsidRDefault="002366A2" w:rsidP="002366A2">
      <w:pPr>
        <w:ind w:left="360" w:hanging="360"/>
      </w:pPr>
      <w:r w:rsidRPr="002366A2">
        <w:t>Q:</w:t>
      </w:r>
      <w:r w:rsidRPr="002366A2">
        <w:tab/>
        <w:t xml:space="preserve">What are the </w:t>
      </w:r>
      <w:proofErr w:type="spellStart"/>
      <w:r w:rsidRPr="002366A2">
        <w:t>ShareData</w:t>
      </w:r>
      <w:proofErr w:type="spellEnd"/>
      <w:r w:rsidRPr="002366A2">
        <w:t xml:space="preserve"> and </w:t>
      </w:r>
      <w:proofErr w:type="spellStart"/>
      <w:r w:rsidRPr="002366A2">
        <w:t>ShareDataOff</w:t>
      </w:r>
      <w:proofErr w:type="spellEnd"/>
      <w:r w:rsidRPr="002366A2">
        <w:t xml:space="preserve"> functions used for?</w:t>
      </w:r>
    </w:p>
    <w:p w14:paraId="71BE01D2" w14:textId="77777777" w:rsidR="002366A2" w:rsidRPr="002366A2" w:rsidRDefault="002366A2" w:rsidP="002366A2">
      <w:pPr>
        <w:ind w:left="360" w:hanging="360"/>
      </w:pPr>
      <w:r w:rsidRPr="002366A2">
        <w:t>A:</w:t>
      </w:r>
      <w:r w:rsidRPr="002366A2">
        <w:tab/>
      </w:r>
      <w:proofErr w:type="spellStart"/>
      <w:r w:rsidRPr="002366A2">
        <w:t>ShareData</w:t>
      </w:r>
      <w:proofErr w:type="spellEnd"/>
      <w:r w:rsidRPr="002366A2">
        <w:t xml:space="preserve"> makes it possible for a DataWindow control or DataStore to share all of its buffers with another DataWindow control or DataStore. </w:t>
      </w:r>
      <w:proofErr w:type="spellStart"/>
      <w:r w:rsidRPr="002366A2">
        <w:t>ShareDataOff</w:t>
      </w:r>
      <w:proofErr w:type="spellEnd"/>
      <w:r w:rsidRPr="002366A2">
        <w:t xml:space="preserve"> turns off the sharing of buffers.</w:t>
      </w:r>
    </w:p>
    <w:p w14:paraId="2158BD84" w14:textId="77777777" w:rsidR="002366A2" w:rsidRPr="002366A2" w:rsidRDefault="002366A2" w:rsidP="002366A2">
      <w:pPr>
        <w:ind w:left="360" w:hanging="360"/>
      </w:pPr>
      <w:r w:rsidRPr="002366A2">
        <w:t>Q:</w:t>
      </w:r>
      <w:r w:rsidRPr="002366A2">
        <w:tab/>
        <w:t>What is the “Edit Control”?</w:t>
      </w:r>
    </w:p>
    <w:p w14:paraId="646B3DE7" w14:textId="77777777" w:rsidR="002366A2" w:rsidRPr="002366A2" w:rsidRDefault="002366A2" w:rsidP="002366A2">
      <w:pPr>
        <w:ind w:left="360" w:hanging="360"/>
      </w:pPr>
      <w:r w:rsidRPr="002366A2">
        <w:t>A:</w:t>
      </w:r>
      <w:r w:rsidRPr="002366A2">
        <w:tab/>
        <w:t>The edit control is a mechanism managed by PowerBuilder by which a user enters or modifies data in a column within a row. When a row/column gets input focus, PB superimposes the edit control over the visual presentation so that all user interaction occurs in the edit control without affecting the data value in the primary buffer. The appearance of the Edit Control exactly mimics the column.</w:t>
      </w:r>
    </w:p>
    <w:p w14:paraId="0132B5AB" w14:textId="77777777" w:rsidR="002366A2" w:rsidRPr="002366A2" w:rsidRDefault="002366A2" w:rsidP="002366A2">
      <w:pPr>
        <w:ind w:left="360" w:hanging="360"/>
      </w:pPr>
      <w:r w:rsidRPr="002366A2">
        <w:t>Q:</w:t>
      </w:r>
      <w:r w:rsidRPr="002366A2">
        <w:tab/>
        <w:t>What purpose does the edit control serve?</w:t>
      </w:r>
    </w:p>
    <w:p w14:paraId="11700012" w14:textId="77777777" w:rsidR="002366A2" w:rsidRPr="002366A2" w:rsidRDefault="002366A2" w:rsidP="002366A2">
      <w:pPr>
        <w:ind w:left="360" w:hanging="360"/>
      </w:pPr>
      <w:r w:rsidRPr="002366A2">
        <w:t>A:</w:t>
      </w:r>
      <w:r w:rsidRPr="002366A2">
        <w:tab/>
        <w:t>It provides a means to inspect, validate, and approve or reject a new or modified data value before placing the value in the primary buffer.</w:t>
      </w:r>
    </w:p>
    <w:p w14:paraId="10BF66B2" w14:textId="77777777" w:rsidR="002366A2" w:rsidRPr="002366A2" w:rsidRDefault="002366A2" w:rsidP="002366A2">
      <w:pPr>
        <w:ind w:left="360" w:hanging="360"/>
      </w:pPr>
      <w:r w:rsidRPr="002366A2">
        <w:t>Q:</w:t>
      </w:r>
      <w:r w:rsidRPr="002366A2">
        <w:tab/>
        <w:t xml:space="preserve">Explain and contrast the differences between the DataWindow control’s </w:t>
      </w:r>
      <w:proofErr w:type="spellStart"/>
      <w:r w:rsidRPr="002366A2">
        <w:t>EditChanged</w:t>
      </w:r>
      <w:proofErr w:type="spellEnd"/>
      <w:r w:rsidRPr="002366A2">
        <w:t xml:space="preserve">, </w:t>
      </w:r>
      <w:proofErr w:type="spellStart"/>
      <w:r w:rsidRPr="002366A2">
        <w:t>ItemChanged</w:t>
      </w:r>
      <w:proofErr w:type="spellEnd"/>
      <w:r w:rsidRPr="002366A2">
        <w:t xml:space="preserve">, and </w:t>
      </w:r>
      <w:proofErr w:type="spellStart"/>
      <w:r w:rsidRPr="002366A2">
        <w:t>ItemError</w:t>
      </w:r>
      <w:proofErr w:type="spellEnd"/>
      <w:r w:rsidRPr="002366A2">
        <w:t xml:space="preserve"> events:</w:t>
      </w:r>
    </w:p>
    <w:p w14:paraId="19D36377" w14:textId="77777777" w:rsidR="002366A2" w:rsidRPr="002366A2" w:rsidRDefault="002366A2" w:rsidP="002366A2">
      <w:pPr>
        <w:ind w:left="360" w:hanging="360"/>
      </w:pPr>
      <w:r w:rsidRPr="002366A2">
        <w:t>A:</w:t>
      </w:r>
      <w:r w:rsidRPr="002366A2">
        <w:tab/>
        <w:t xml:space="preserve">The </w:t>
      </w:r>
      <w:proofErr w:type="spellStart"/>
      <w:r w:rsidRPr="002366A2">
        <w:t>EditChanged</w:t>
      </w:r>
      <w:proofErr w:type="spellEnd"/>
      <w:r w:rsidRPr="002366A2">
        <w:t xml:space="preserve"> event occurs for each keystroke the user types in an edit control.</w:t>
      </w:r>
      <w:r w:rsidRPr="002366A2">
        <w:br/>
        <w:t xml:space="preserve">The </w:t>
      </w:r>
      <w:proofErr w:type="spellStart"/>
      <w:r w:rsidRPr="002366A2">
        <w:t>ItemChanged</w:t>
      </w:r>
      <w:proofErr w:type="spellEnd"/>
      <w:r w:rsidRPr="002366A2">
        <w:t xml:space="preserve"> event occurs when a field in a DataWindow control has been modified and loses focus. It occurs before the change is applied to the item in the primary buffer. This event can also occur when the </w:t>
      </w:r>
      <w:proofErr w:type="spellStart"/>
      <w:r w:rsidRPr="002366A2">
        <w:t>AcceptText</w:t>
      </w:r>
      <w:proofErr w:type="spellEnd"/>
      <w:r w:rsidRPr="002366A2">
        <w:t xml:space="preserve"> or Update method is called. The PB developer can inspect the changed value and accept or reject it via the return code.</w:t>
      </w:r>
      <w:r w:rsidRPr="002366A2">
        <w:br/>
        <w:t xml:space="preserve">The </w:t>
      </w:r>
      <w:proofErr w:type="spellStart"/>
      <w:r w:rsidRPr="002366A2">
        <w:t>ItemError</w:t>
      </w:r>
      <w:proofErr w:type="spellEnd"/>
      <w:r w:rsidRPr="002366A2">
        <w:t xml:space="preserve"> event occurs when a field has been modified and does not pass validation rules for its column or when code in the </w:t>
      </w:r>
      <w:proofErr w:type="spellStart"/>
      <w:r w:rsidRPr="002366A2">
        <w:t>ItemChanged</w:t>
      </w:r>
      <w:proofErr w:type="spellEnd"/>
      <w:r w:rsidRPr="002366A2">
        <w:t xml:space="preserve"> event rejects the changed value. The developer can use this event to accept the data value or reject it with a standard error message, a custom error message, or no message.</w:t>
      </w:r>
    </w:p>
    <w:p w14:paraId="5D9B8F2D" w14:textId="77777777" w:rsidR="002366A2" w:rsidRPr="002366A2" w:rsidRDefault="002366A2" w:rsidP="002366A2">
      <w:pPr>
        <w:pStyle w:val="Heading2"/>
      </w:pPr>
      <w:r w:rsidRPr="002366A2">
        <w:t>PowerBuilder Foundation Class (PFC) Questions</w:t>
      </w:r>
    </w:p>
    <w:p w14:paraId="33D0A9B9" w14:textId="19279DE7" w:rsidR="002366A2" w:rsidRPr="002366A2" w:rsidRDefault="002366A2" w:rsidP="002366A2">
      <w:pPr>
        <w:ind w:left="360" w:hanging="360"/>
      </w:pPr>
      <w:r w:rsidRPr="002366A2">
        <w:t>Q:</w:t>
      </w:r>
      <w:r w:rsidRPr="002366A2">
        <w:tab/>
        <w:t xml:space="preserve">The PFC is a set of </w:t>
      </w:r>
      <w:proofErr w:type="spellStart"/>
      <w:r w:rsidRPr="002366A2">
        <w:t>pbl’s</w:t>
      </w:r>
      <w:proofErr w:type="spellEnd"/>
      <w:r w:rsidRPr="002366A2">
        <w:t xml:space="preserve"> that implement an object framework designed to simplify and increase the code quality of a PowerBuilder application. It makes heavy use object inheritance and the functionality can be easily customized for special-purpose needs. It was first made available in PB </w:t>
      </w:r>
      <w:r w:rsidRPr="002366A2">
        <w:lastRenderedPageBreak/>
        <w:t>version 5 in the 1990’s.</w:t>
      </w:r>
      <w:r w:rsidRPr="002366A2">
        <w:br/>
      </w:r>
      <w:r w:rsidRPr="002366A2">
        <w:br/>
        <w:t xml:space="preserve">How many </w:t>
      </w:r>
      <w:proofErr w:type="spellStart"/>
      <w:r w:rsidRPr="002366A2">
        <w:t>pbl’s</w:t>
      </w:r>
      <w:proofErr w:type="spellEnd"/>
      <w:r w:rsidRPr="002366A2">
        <w:t xml:space="preserve"> comprise the PFC and what are their names?</w:t>
      </w:r>
    </w:p>
    <w:p w14:paraId="670BDD72" w14:textId="77777777" w:rsidR="002366A2" w:rsidRPr="002366A2" w:rsidRDefault="002366A2" w:rsidP="002366A2">
      <w:pPr>
        <w:ind w:left="360" w:hanging="360"/>
      </w:pPr>
      <w:r w:rsidRPr="002366A2">
        <w:t>A:</w:t>
      </w:r>
      <w:r w:rsidRPr="002366A2">
        <w:tab/>
        <w:t>Then are 10 libraries:</w:t>
      </w:r>
      <w:r w:rsidRPr="002366A2">
        <w:br/>
      </w:r>
      <w:r w:rsidRPr="002366A2">
        <w:tab/>
        <w:t xml:space="preserve">- </w:t>
      </w:r>
      <w:proofErr w:type="spellStart"/>
      <w:r w:rsidRPr="002366A2">
        <w:t>pfcapsrv</w:t>
      </w:r>
      <w:proofErr w:type="spellEnd"/>
      <w:r w:rsidRPr="002366A2">
        <w:br/>
      </w:r>
      <w:r w:rsidRPr="002366A2">
        <w:tab/>
        <w:t xml:space="preserve">- </w:t>
      </w:r>
      <w:proofErr w:type="spellStart"/>
      <w:r w:rsidRPr="002366A2">
        <w:t>pfcdwsrv</w:t>
      </w:r>
      <w:proofErr w:type="spellEnd"/>
      <w:r w:rsidRPr="002366A2">
        <w:br/>
      </w:r>
      <w:r w:rsidRPr="002366A2">
        <w:tab/>
        <w:t xml:space="preserve">- </w:t>
      </w:r>
      <w:proofErr w:type="spellStart"/>
      <w:r w:rsidRPr="002366A2">
        <w:t>pfcmain</w:t>
      </w:r>
      <w:proofErr w:type="spellEnd"/>
      <w:r w:rsidRPr="002366A2">
        <w:br/>
        <w:t xml:space="preserve"> </w:t>
      </w:r>
      <w:r w:rsidRPr="002366A2">
        <w:tab/>
        <w:t xml:space="preserve">- </w:t>
      </w:r>
      <w:proofErr w:type="spellStart"/>
      <w:r w:rsidRPr="002366A2">
        <w:t>pfcutil</w:t>
      </w:r>
      <w:proofErr w:type="spellEnd"/>
      <w:r w:rsidRPr="002366A2">
        <w:br/>
        <w:t xml:space="preserve"> </w:t>
      </w:r>
      <w:r w:rsidRPr="002366A2">
        <w:tab/>
        <w:t xml:space="preserve">- </w:t>
      </w:r>
      <w:proofErr w:type="spellStart"/>
      <w:r w:rsidRPr="002366A2">
        <w:t>pfcwnsrv</w:t>
      </w:r>
      <w:proofErr w:type="spellEnd"/>
      <w:r w:rsidRPr="002366A2">
        <w:br/>
      </w:r>
      <w:r w:rsidRPr="002366A2">
        <w:tab/>
        <w:t xml:space="preserve">- </w:t>
      </w:r>
      <w:proofErr w:type="spellStart"/>
      <w:r w:rsidRPr="002366A2">
        <w:t>pfeapsrv</w:t>
      </w:r>
      <w:proofErr w:type="spellEnd"/>
      <w:r w:rsidRPr="002366A2">
        <w:br/>
      </w:r>
      <w:r w:rsidRPr="002366A2">
        <w:tab/>
        <w:t xml:space="preserve">- </w:t>
      </w:r>
      <w:proofErr w:type="spellStart"/>
      <w:r w:rsidRPr="002366A2">
        <w:t>pfedwsrv</w:t>
      </w:r>
      <w:proofErr w:type="spellEnd"/>
      <w:r w:rsidRPr="002366A2">
        <w:br/>
      </w:r>
      <w:r w:rsidRPr="002366A2">
        <w:tab/>
        <w:t xml:space="preserve">- </w:t>
      </w:r>
      <w:proofErr w:type="spellStart"/>
      <w:r w:rsidRPr="002366A2">
        <w:t>pfemain</w:t>
      </w:r>
      <w:proofErr w:type="spellEnd"/>
      <w:r w:rsidRPr="002366A2">
        <w:br/>
      </w:r>
      <w:r w:rsidRPr="002366A2">
        <w:tab/>
        <w:t xml:space="preserve">- </w:t>
      </w:r>
      <w:proofErr w:type="spellStart"/>
      <w:r w:rsidRPr="002366A2">
        <w:t>pfeutil</w:t>
      </w:r>
      <w:proofErr w:type="spellEnd"/>
      <w:r w:rsidRPr="002366A2">
        <w:br/>
        <w:t xml:space="preserve"> </w:t>
      </w:r>
      <w:r w:rsidRPr="002366A2">
        <w:tab/>
        <w:t xml:space="preserve">- </w:t>
      </w:r>
      <w:proofErr w:type="spellStart"/>
      <w:r w:rsidRPr="002366A2">
        <w:t>pfewnsrv</w:t>
      </w:r>
      <w:proofErr w:type="spellEnd"/>
    </w:p>
    <w:p w14:paraId="4D3B43F1" w14:textId="77777777" w:rsidR="002366A2" w:rsidRPr="002366A2" w:rsidRDefault="002366A2" w:rsidP="002366A2">
      <w:pPr>
        <w:ind w:left="360" w:hanging="360"/>
      </w:pPr>
      <w:r w:rsidRPr="002366A2">
        <w:t>Q:</w:t>
      </w:r>
      <w:r w:rsidRPr="002366A2">
        <w:tab/>
        <w:t>The functionality provide by the PFC implements a “service-based architecture”. How would you describe a service-based architecture?</w:t>
      </w:r>
    </w:p>
    <w:p w14:paraId="75AA531B" w14:textId="77777777" w:rsidR="002366A2" w:rsidRPr="002366A2" w:rsidRDefault="002366A2" w:rsidP="002366A2">
      <w:pPr>
        <w:ind w:left="360" w:hanging="360"/>
      </w:pPr>
      <w:r w:rsidRPr="002366A2">
        <w:t>A:</w:t>
      </w:r>
      <w:r w:rsidRPr="002366A2">
        <w:tab/>
        <w:t>x</w:t>
      </w:r>
    </w:p>
    <w:p w14:paraId="1AF970F1" w14:textId="77777777" w:rsidR="00000000" w:rsidRDefault="00000000" w:rsidP="002366A2">
      <w:pPr>
        <w:ind w:left="360" w:hanging="360"/>
      </w:pPr>
    </w:p>
    <w:sectPr w:rsidR="005E0F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6A2"/>
    <w:rsid w:val="002366A2"/>
    <w:rsid w:val="0058391D"/>
    <w:rsid w:val="006064A9"/>
    <w:rsid w:val="00A77329"/>
    <w:rsid w:val="00AE7FF2"/>
    <w:rsid w:val="00DB29C1"/>
    <w:rsid w:val="00ED5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DB3D0"/>
  <w15:chartTrackingRefBased/>
  <w15:docId w15:val="{2C3DF7CD-4737-4EBD-BEE4-C5A16D873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66A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366A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66A2"/>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2366A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3222">
      <w:bodyDiv w:val="1"/>
      <w:marLeft w:val="0"/>
      <w:marRight w:val="0"/>
      <w:marTop w:val="0"/>
      <w:marBottom w:val="0"/>
      <w:divBdr>
        <w:top w:val="none" w:sz="0" w:space="0" w:color="auto"/>
        <w:left w:val="none" w:sz="0" w:space="0" w:color="auto"/>
        <w:bottom w:val="none" w:sz="0" w:space="0" w:color="auto"/>
        <w:right w:val="none" w:sz="0" w:space="0" w:color="auto"/>
      </w:divBdr>
    </w:div>
    <w:div w:id="16387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1445</Words>
  <Characters>8237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Fauss</dc:creator>
  <cp:keywords/>
  <dc:description/>
  <cp:lastModifiedBy>John Fauss</cp:lastModifiedBy>
  <cp:revision>1</cp:revision>
  <dcterms:created xsi:type="dcterms:W3CDTF">2024-09-19T04:32:00Z</dcterms:created>
  <dcterms:modified xsi:type="dcterms:W3CDTF">2024-09-19T05:02:00Z</dcterms:modified>
</cp:coreProperties>
</file>